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70" w:rsidRPr="00486663" w:rsidRDefault="00321170" w:rsidP="00321170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56"/>
          <w:szCs w:val="56"/>
          <w:lang w:eastAsia="en-NZ"/>
        </w:rPr>
      </w:pPr>
      <w:r w:rsidRPr="00486663">
        <w:rPr>
          <w:rFonts w:ascii="Arial" w:eastAsia="Times New Roman" w:hAnsi="Arial" w:cs="Arial"/>
          <w:b/>
          <w:bCs/>
          <w:color w:val="404441"/>
          <w:spacing w:val="-4"/>
          <w:sz w:val="56"/>
          <w:szCs w:val="56"/>
          <w:lang w:eastAsia="en-NZ"/>
        </w:rPr>
        <w:t xml:space="preserve">Further legal action looming over </w:t>
      </w:r>
      <w:proofErr w:type="spellStart"/>
      <w:r w:rsidRPr="00486663">
        <w:rPr>
          <w:rFonts w:ascii="Arial" w:eastAsia="Times New Roman" w:hAnsi="Arial" w:cs="Arial"/>
          <w:b/>
          <w:bCs/>
          <w:color w:val="404441"/>
          <w:spacing w:val="-4"/>
          <w:sz w:val="56"/>
          <w:szCs w:val="56"/>
          <w:lang w:eastAsia="en-NZ"/>
        </w:rPr>
        <w:t>Ruataniwha</w:t>
      </w:r>
      <w:proofErr w:type="spellEnd"/>
      <w:r w:rsidRPr="00486663">
        <w:rPr>
          <w:rFonts w:ascii="Arial" w:eastAsia="Times New Roman" w:hAnsi="Arial" w:cs="Arial"/>
          <w:b/>
          <w:bCs/>
          <w:color w:val="404441"/>
          <w:spacing w:val="-4"/>
          <w:sz w:val="56"/>
          <w:szCs w:val="56"/>
          <w:lang w:eastAsia="en-NZ"/>
        </w:rPr>
        <w:t xml:space="preserve"> Dam</w:t>
      </w:r>
    </w:p>
    <w:p w:rsidR="00321170" w:rsidRPr="00321170" w:rsidRDefault="00321170" w:rsidP="00321170">
      <w:pPr>
        <w:shd w:val="clear" w:color="auto" w:fill="FFFFFF"/>
        <w:textAlignment w:val="baseline"/>
        <w:rPr>
          <w:rFonts w:ascii="Arial" w:eastAsia="Times New Roman" w:hAnsi="Arial" w:cs="Arial"/>
          <w:color w:val="404441"/>
          <w:sz w:val="24"/>
          <w:szCs w:val="24"/>
          <w:lang w:eastAsia="en-NZ"/>
        </w:rPr>
      </w:pPr>
      <w:r w:rsidRPr="00321170">
        <w:rPr>
          <w:rFonts w:ascii="Arial" w:eastAsia="Times New Roman" w:hAnsi="Arial" w:cs="Arial"/>
          <w:color w:val="6D7570"/>
          <w:sz w:val="23"/>
          <w:szCs w:val="23"/>
          <w:bdr w:val="none" w:sz="0" w:space="0" w:color="auto" w:frame="1"/>
          <w:lang w:eastAsia="en-NZ"/>
        </w:rPr>
        <w:t>2:29 pm on 28 September 2016</w:t>
      </w:r>
      <w:r w:rsidRPr="00321170">
        <w:rPr>
          <w:rFonts w:ascii="Arial" w:eastAsia="Times New Roman" w:hAnsi="Arial" w:cs="Arial"/>
          <w:color w:val="404441"/>
          <w:sz w:val="24"/>
          <w:szCs w:val="24"/>
          <w:lang w:eastAsia="en-NZ"/>
        </w:rPr>
        <w:t> </w:t>
      </w:r>
    </w:p>
    <w:p w:rsidR="00321170" w:rsidRDefault="00321170" w:rsidP="00321170">
      <w:pPr>
        <w:shd w:val="clear" w:color="auto" w:fill="FFFFFF"/>
        <w:textAlignment w:val="baseline"/>
        <w:rPr>
          <w:rFonts w:ascii="Arial" w:eastAsia="Times New Roman" w:hAnsi="Arial" w:cs="Arial"/>
          <w:color w:val="404441"/>
          <w:sz w:val="24"/>
          <w:szCs w:val="24"/>
          <w:lang w:eastAsia="en-NZ"/>
        </w:rPr>
      </w:pPr>
    </w:p>
    <w:p w:rsidR="00321170" w:rsidRPr="003D2589" w:rsidRDefault="00321170" w:rsidP="00321170">
      <w:pPr>
        <w:shd w:val="clear" w:color="auto" w:fill="FFFFFF"/>
        <w:textAlignment w:val="baseline"/>
        <w:rPr>
          <w:rFonts w:ascii="Arial" w:hAnsi="Arial" w:cs="Arial"/>
          <w:color w:val="404441"/>
          <w:sz w:val="20"/>
          <w:szCs w:val="20"/>
          <w:bdr w:val="none" w:sz="0" w:space="0" w:color="auto" w:frame="1"/>
          <w:shd w:val="clear" w:color="auto" w:fill="FFFFFF"/>
        </w:rPr>
      </w:pPr>
      <w:r w:rsidRPr="003D2589">
        <w:rPr>
          <w:rFonts w:ascii="Arial" w:hAnsi="Arial" w:cs="Arial"/>
          <w:color w:val="404441"/>
          <w:sz w:val="20"/>
          <w:szCs w:val="20"/>
          <w:shd w:val="clear" w:color="auto" w:fill="FFFFFF"/>
        </w:rPr>
        <w:t>Copyright ©</w:t>
      </w:r>
      <w:r w:rsidRPr="003D2589">
        <w:rPr>
          <w:rStyle w:val="apple-converted-space"/>
          <w:rFonts w:ascii="Arial" w:hAnsi="Arial" w:cs="Arial"/>
          <w:color w:val="404441"/>
          <w:sz w:val="20"/>
          <w:szCs w:val="20"/>
          <w:shd w:val="clear" w:color="auto" w:fill="FFFFFF"/>
        </w:rPr>
        <w:t> </w:t>
      </w:r>
      <w:r w:rsidRPr="003D2589">
        <w:rPr>
          <w:rFonts w:ascii="Arial" w:hAnsi="Arial" w:cs="Arial"/>
          <w:color w:val="404441"/>
          <w:sz w:val="20"/>
          <w:szCs w:val="20"/>
          <w:bdr w:val="none" w:sz="0" w:space="0" w:color="auto" w:frame="1"/>
          <w:shd w:val="clear" w:color="auto" w:fill="FFFFFF"/>
        </w:rPr>
        <w:t>2016</w:t>
      </w:r>
      <w:r w:rsidRPr="003D2589">
        <w:rPr>
          <w:rFonts w:ascii="Arial" w:hAnsi="Arial" w:cs="Arial"/>
          <w:color w:val="404441"/>
          <w:sz w:val="20"/>
          <w:szCs w:val="20"/>
          <w:shd w:val="clear" w:color="auto" w:fill="FFFFFF"/>
        </w:rPr>
        <w:t>,</w:t>
      </w:r>
      <w:r w:rsidRPr="003D2589">
        <w:rPr>
          <w:rStyle w:val="apple-converted-space"/>
          <w:rFonts w:ascii="Arial" w:hAnsi="Arial" w:cs="Arial"/>
          <w:color w:val="404441"/>
          <w:sz w:val="20"/>
          <w:szCs w:val="20"/>
          <w:shd w:val="clear" w:color="auto" w:fill="FFFFFF"/>
        </w:rPr>
        <w:t> </w:t>
      </w:r>
      <w:r w:rsidRPr="003D2589">
        <w:rPr>
          <w:rFonts w:ascii="Arial" w:hAnsi="Arial" w:cs="Arial"/>
          <w:color w:val="404441"/>
          <w:sz w:val="20"/>
          <w:szCs w:val="20"/>
          <w:bdr w:val="none" w:sz="0" w:space="0" w:color="auto" w:frame="1"/>
          <w:shd w:val="clear" w:color="auto" w:fill="FFFFFF"/>
        </w:rPr>
        <w:t>Radio New Zealand</w:t>
      </w:r>
    </w:p>
    <w:p w:rsidR="00486663" w:rsidRPr="003D2589" w:rsidRDefault="00486663" w:rsidP="00321170">
      <w:pPr>
        <w:shd w:val="clear" w:color="auto" w:fill="FFFFFF"/>
        <w:textAlignment w:val="baseline"/>
        <w:rPr>
          <w:rFonts w:ascii="Arial" w:eastAsia="Times New Roman" w:hAnsi="Arial" w:cs="Arial"/>
          <w:color w:val="404441"/>
          <w:sz w:val="20"/>
          <w:szCs w:val="20"/>
          <w:lang w:eastAsia="en-NZ"/>
        </w:rPr>
      </w:pPr>
    </w:p>
    <w:p w:rsidR="00321170" w:rsidRPr="003D2589" w:rsidRDefault="00321170" w:rsidP="00321170">
      <w:pPr>
        <w:shd w:val="clear" w:color="auto" w:fill="FFFFFF"/>
        <w:spacing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The Hawke's Bay Regional Council's investment arm is joining the Department of Conservation (DOC) in seeking an appeal to the Supreme Court over a decision relating to a land exchange for the </w:t>
      </w:r>
      <w:proofErr w:type="spellStart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Ruataniwha</w:t>
      </w:r>
      <w:proofErr w:type="spellEnd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 Dam.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The council wants to dam 22ha of formerly-protected land, flood it and give the department 170ha of nearby farmland in return.</w:t>
      </w:r>
    </w:p>
    <w:p w:rsidR="00321170" w:rsidRDefault="00321170" w:rsidP="00321170">
      <w:pPr>
        <w:shd w:val="clear" w:color="auto" w:fill="FFFFFF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The </w:t>
      </w:r>
      <w:hyperlink r:id="rId5" w:history="1">
        <w:r w:rsidRPr="003D2589">
          <w:rPr>
            <w:rFonts w:ascii="Georgia" w:eastAsia="Times New Roman" w:hAnsi="Georgia" w:cs="Arial"/>
            <w:color w:val="717973"/>
            <w:sz w:val="20"/>
            <w:szCs w:val="20"/>
            <w:u w:val="single"/>
            <w:bdr w:val="none" w:sz="0" w:space="0" w:color="auto" w:frame="1"/>
            <w:lang w:eastAsia="en-NZ"/>
          </w:rPr>
          <w:t>Court of Appeal ruled last month</w:t>
        </w:r>
      </w:hyperlink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 the process of acquiring the protected conservation land for the $900 million irrigation scheme was unlawful and ordered the Director-General of Conservation to reconsider his decision on the land swap.</w:t>
      </w:r>
    </w:p>
    <w:p w:rsidR="00483B7C" w:rsidRPr="003D2589" w:rsidRDefault="00483B7C" w:rsidP="00321170">
      <w:pPr>
        <w:shd w:val="clear" w:color="auto" w:fill="FFFFFF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</w:p>
    <w:p w:rsidR="00321170" w:rsidRPr="003D2589" w:rsidRDefault="00321170" w:rsidP="00321170">
      <w:pPr>
        <w:shd w:val="clear" w:color="auto" w:fill="FFFFFF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That hearing took place after </w:t>
      </w:r>
      <w:hyperlink r:id="rId6" w:history="1">
        <w:r w:rsidRPr="003D2589">
          <w:rPr>
            <w:rFonts w:ascii="Georgia" w:eastAsia="Times New Roman" w:hAnsi="Georgia" w:cs="Arial"/>
            <w:color w:val="717973"/>
            <w:sz w:val="20"/>
            <w:szCs w:val="20"/>
            <w:u w:val="single"/>
            <w:bdr w:val="none" w:sz="0" w:space="0" w:color="auto" w:frame="1"/>
            <w:lang w:eastAsia="en-NZ"/>
          </w:rPr>
          <w:t>Forest &amp; Bird appealed against a High Court decision</w:t>
        </w:r>
      </w:hyperlink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 upholding the land swap.</w:t>
      </w:r>
    </w:p>
    <w:p w:rsidR="00321170" w:rsidRPr="003D2589" w:rsidRDefault="00321170" w:rsidP="00321170">
      <w:pPr>
        <w:shd w:val="clear" w:color="auto" w:fill="FFFFFF"/>
        <w:textAlignment w:val="baseline"/>
        <w:rPr>
          <w:rFonts w:ascii="Arial" w:eastAsia="Times New Roman" w:hAnsi="Arial" w:cs="Arial"/>
          <w:color w:val="404441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noProof/>
          <w:color w:val="404441"/>
          <w:sz w:val="20"/>
          <w:szCs w:val="20"/>
          <w:lang w:eastAsia="en-NZ"/>
        </w:rPr>
        <w:drawing>
          <wp:inline distT="0" distB="0" distL="0" distR="0" wp14:anchorId="7EE3CA26" wp14:editId="74D7602F">
            <wp:extent cx="4358718" cy="2722179"/>
            <wp:effectExtent l="0" t="0" r="3810" b="2540"/>
            <wp:docPr id="13" name="Picture 13" descr="The proposed Ruataniwha Dam would be built on this site in Hawke's B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proposed Ruataniwha Dam would be built on this site in Hawke's Ba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45" cy="27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70" w:rsidRPr="003D2589" w:rsidRDefault="00321170" w:rsidP="00321170">
      <w:pPr>
        <w:shd w:val="clear" w:color="auto" w:fill="FFFFFF"/>
        <w:textAlignment w:val="baseline"/>
        <w:rPr>
          <w:rFonts w:ascii="Arial" w:eastAsia="Times New Roman" w:hAnsi="Arial" w:cs="Arial"/>
          <w:color w:val="404441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404441"/>
          <w:sz w:val="20"/>
          <w:szCs w:val="20"/>
          <w:bdr w:val="none" w:sz="0" w:space="0" w:color="auto" w:frame="1"/>
          <w:lang w:eastAsia="en-NZ"/>
        </w:rPr>
        <w:t xml:space="preserve">The proposed </w:t>
      </w:r>
      <w:proofErr w:type="spellStart"/>
      <w:r w:rsidRPr="003D2589">
        <w:rPr>
          <w:rFonts w:ascii="Arial" w:eastAsia="Times New Roman" w:hAnsi="Arial" w:cs="Arial"/>
          <w:color w:val="404441"/>
          <w:sz w:val="20"/>
          <w:szCs w:val="20"/>
          <w:bdr w:val="none" w:sz="0" w:space="0" w:color="auto" w:frame="1"/>
          <w:lang w:eastAsia="en-NZ"/>
        </w:rPr>
        <w:t>Ruataniwha</w:t>
      </w:r>
      <w:proofErr w:type="spellEnd"/>
      <w:r w:rsidRPr="003D2589">
        <w:rPr>
          <w:rFonts w:ascii="Arial" w:eastAsia="Times New Roman" w:hAnsi="Arial" w:cs="Arial"/>
          <w:color w:val="404441"/>
          <w:sz w:val="20"/>
          <w:szCs w:val="20"/>
          <w:bdr w:val="none" w:sz="0" w:space="0" w:color="auto" w:frame="1"/>
          <w:lang w:eastAsia="en-NZ"/>
        </w:rPr>
        <w:t xml:space="preserve"> Dam would be built on this site in Hawke's Bay. </w:t>
      </w:r>
      <w:r w:rsidRPr="003D2589">
        <w:rPr>
          <w:rFonts w:ascii="Arial" w:eastAsia="Times New Roman" w:hAnsi="Arial" w:cs="Arial"/>
          <w:color w:val="B3B3AC"/>
          <w:sz w:val="20"/>
          <w:szCs w:val="20"/>
          <w:bdr w:val="none" w:sz="0" w:space="0" w:color="auto" w:frame="1"/>
          <w:lang w:eastAsia="en-NZ"/>
        </w:rPr>
        <w:t>Photo: RNZ / Peter Fowler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Hawke's Bay Regional Investment Company (HBRIC) chairman Andy Pearce said the project would bring several benefits to the community.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"There is a strong commitment from HBRIC, and those involved, to deliver the </w:t>
      </w:r>
      <w:proofErr w:type="spellStart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Ruataniwha</w:t>
      </w:r>
      <w:proofErr w:type="spellEnd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 Water Storage Scheme and its wide-ranging environmental, social and economic benefits."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Mr Pearce said his organisation would join DOC in applying for an urgent hearing in the Supreme Court to seek leave to appeal against the Court of Appeal's decision.</w:t>
      </w:r>
    </w:p>
    <w:p w:rsidR="00321170" w:rsidRPr="00483B7C" w:rsidRDefault="00321170" w:rsidP="00321170">
      <w:pPr>
        <w:shd w:val="clear" w:color="auto" w:fill="FFFFFF"/>
        <w:spacing w:before="576" w:after="180"/>
        <w:textAlignment w:val="baseline"/>
        <w:outlineLvl w:val="2"/>
        <w:rPr>
          <w:rFonts w:ascii="Arial" w:eastAsia="Times New Roman" w:hAnsi="Arial" w:cs="Arial"/>
          <w:color w:val="1E2722"/>
          <w:sz w:val="28"/>
          <w:szCs w:val="28"/>
          <w:lang w:eastAsia="en-NZ"/>
        </w:rPr>
      </w:pPr>
      <w:r w:rsidRPr="00483B7C">
        <w:rPr>
          <w:rFonts w:ascii="Arial" w:eastAsia="Times New Roman" w:hAnsi="Arial" w:cs="Arial"/>
          <w:color w:val="1E2722"/>
          <w:sz w:val="28"/>
          <w:szCs w:val="28"/>
          <w:lang w:eastAsia="en-NZ"/>
        </w:rPr>
        <w:t>Land swap could set precedent - Forest &amp; Bird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Forest &amp; Bird acting chief executive Mike </w:t>
      </w:r>
      <w:proofErr w:type="spellStart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Kotlyar</w:t>
      </w:r>
      <w:proofErr w:type="spellEnd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 said many New Zealanders would be baffled by the Department of Conservation's legal bid to try and overturn the Court of Appeal decision.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"The ultimate outcome sought by this challenge is to enable the controversial </w:t>
      </w:r>
      <w:proofErr w:type="spellStart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Ruataniwha</w:t>
      </w:r>
      <w:proofErr w:type="spellEnd"/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 xml:space="preserve"> Dam to proceed.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lastRenderedPageBreak/>
        <w:t>"We doubt New Zealanders would consider it to be the Conservation Minister's role to support irrigation schemes like this.</w:t>
      </w:r>
    </w:p>
    <w:p w:rsidR="00321170" w:rsidRPr="003D2589" w:rsidRDefault="00321170" w:rsidP="00321170">
      <w:pPr>
        <w:shd w:val="clear" w:color="auto" w:fill="FFFFFF"/>
        <w:spacing w:before="180" w:after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"If it goes ahead, this land swap will set a precedent for up to one million hectares of specially protected conservation land, creating the possibility that these areas can be reclassified and destroyed."</w:t>
      </w:r>
    </w:p>
    <w:p w:rsidR="00321170" w:rsidRPr="003D2589" w:rsidRDefault="00321170" w:rsidP="00321170">
      <w:pPr>
        <w:shd w:val="clear" w:color="auto" w:fill="FFFFFF"/>
        <w:spacing w:before="180"/>
        <w:textAlignment w:val="baseline"/>
        <w:rPr>
          <w:rFonts w:ascii="Georgia" w:eastAsia="Times New Roman" w:hAnsi="Georgia" w:cs="Arial"/>
          <w:color w:val="404441"/>
          <w:sz w:val="20"/>
          <w:szCs w:val="20"/>
          <w:lang w:eastAsia="en-NZ"/>
        </w:rPr>
      </w:pPr>
      <w:r w:rsidRPr="003D2589">
        <w:rPr>
          <w:rFonts w:ascii="Georgia" w:eastAsia="Times New Roman" w:hAnsi="Georgia" w:cs="Arial"/>
          <w:color w:val="404441"/>
          <w:sz w:val="20"/>
          <w:szCs w:val="20"/>
          <w:lang w:eastAsia="en-NZ"/>
        </w:rPr>
        <w:t>Forest &amp; Bird said the land that would be swapped would include mature forest that was home to threatened wildlife, including long-tailed bats and falcons.</w:t>
      </w:r>
    </w:p>
    <w:p w:rsidR="00486663" w:rsidRPr="003D2589" w:rsidRDefault="00486663" w:rsidP="00486663">
      <w:pPr>
        <w:spacing w:after="150"/>
        <w:outlineLvl w:val="0"/>
        <w:rPr>
          <w:rFonts w:ascii="Georgia" w:eastAsia="Times New Roman" w:hAnsi="Georgia" w:cs="Arial"/>
          <w:color w:val="333333"/>
          <w:kern w:val="36"/>
          <w:lang w:eastAsia="en-NZ"/>
        </w:rPr>
      </w:pPr>
    </w:p>
    <w:p w:rsidR="00321170" w:rsidRDefault="00321170" w:rsidP="00486663">
      <w:pPr>
        <w:spacing w:after="150"/>
        <w:outlineLvl w:val="0"/>
        <w:rPr>
          <w:rFonts w:ascii="Georgia" w:eastAsia="Times New Roman" w:hAnsi="Georgia" w:cs="Arial"/>
          <w:color w:val="333333"/>
          <w:kern w:val="36"/>
          <w:sz w:val="48"/>
          <w:szCs w:val="48"/>
          <w:lang w:eastAsia="en-NZ"/>
        </w:rPr>
      </w:pPr>
      <w:proofErr w:type="spellStart"/>
      <w:r w:rsidRPr="00321170">
        <w:rPr>
          <w:rFonts w:ascii="Georgia" w:eastAsia="Times New Roman" w:hAnsi="Georgia" w:cs="Arial"/>
          <w:color w:val="333333"/>
          <w:kern w:val="36"/>
          <w:sz w:val="48"/>
          <w:szCs w:val="48"/>
          <w:lang w:eastAsia="en-NZ"/>
        </w:rPr>
        <w:t>Ruataniwha</w:t>
      </w:r>
      <w:proofErr w:type="spellEnd"/>
      <w:r w:rsidRPr="00321170">
        <w:rPr>
          <w:rFonts w:ascii="Georgia" w:eastAsia="Times New Roman" w:hAnsi="Georgia" w:cs="Arial"/>
          <w:color w:val="333333"/>
          <w:kern w:val="36"/>
          <w:sz w:val="48"/>
          <w:szCs w:val="48"/>
          <w:lang w:eastAsia="en-NZ"/>
        </w:rPr>
        <w:t xml:space="preserve"> land-swap to be appealed in Supreme Court</w:t>
      </w:r>
    </w:p>
    <w:p w:rsidR="00C2310C" w:rsidRPr="00321170" w:rsidRDefault="00C2310C" w:rsidP="00486663">
      <w:pPr>
        <w:spacing w:after="150"/>
        <w:outlineLvl w:val="0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C2310C">
        <w:rPr>
          <w:rFonts w:ascii="Georgia" w:eastAsia="Times New Roman" w:hAnsi="Georgia" w:cs="Arial"/>
          <w:color w:val="333333"/>
          <w:kern w:val="36"/>
          <w:sz w:val="20"/>
          <w:szCs w:val="20"/>
          <w:lang w:eastAsia="en-NZ"/>
        </w:rPr>
        <w:t xml:space="preserve">Dec 13, 2016: </w:t>
      </w:r>
      <w:bookmarkStart w:id="0" w:name="_GoBack"/>
      <w:bookmarkEnd w:id="0"/>
    </w:p>
    <w:p w:rsidR="00321170" w:rsidRPr="00321170" w:rsidRDefault="00321170" w:rsidP="00486663">
      <w:pPr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321170">
        <w:rPr>
          <w:rFonts w:ascii="Arial" w:eastAsia="Times New Roman" w:hAnsi="Arial" w:cs="Arial"/>
          <w:noProof/>
          <w:color w:val="333333"/>
          <w:sz w:val="18"/>
          <w:szCs w:val="18"/>
          <w:lang w:eastAsia="en-NZ"/>
        </w:rPr>
        <w:drawing>
          <wp:inline distT="0" distB="0" distL="0" distR="0" wp14:anchorId="2B0F9AFA" wp14:editId="2D2A6240">
            <wp:extent cx="5906770" cy="3321050"/>
            <wp:effectExtent l="0" t="0" r="0" b="0"/>
            <wp:docPr id="14" name="Picture 14" descr="An artist's impression of the 7km-long lake that would be created as part of the Ruataniwha water storage schem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 artist's impression of the 7km-long lake that would be created as part of the Ruataniwha water storage scheme i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70" w:rsidRPr="00321170" w:rsidRDefault="00321170" w:rsidP="00486663">
      <w:pPr>
        <w:jc w:val="right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321170">
        <w:rPr>
          <w:rFonts w:ascii="Arial" w:eastAsia="Times New Roman" w:hAnsi="Arial" w:cs="Arial"/>
          <w:color w:val="999999"/>
          <w:sz w:val="14"/>
          <w:szCs w:val="14"/>
          <w:lang w:eastAsia="en-NZ"/>
        </w:rPr>
        <w:t>SUPPLIED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666666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666666"/>
          <w:sz w:val="20"/>
          <w:szCs w:val="20"/>
          <w:lang w:eastAsia="en-NZ"/>
        </w:rPr>
        <w:t xml:space="preserve">An artist's impression of the 7km-long lake that would be created as part of the </w:t>
      </w:r>
      <w:proofErr w:type="spellStart"/>
      <w:r w:rsidRPr="003D2589">
        <w:rPr>
          <w:rFonts w:ascii="Arial" w:eastAsia="Times New Roman" w:hAnsi="Arial" w:cs="Arial"/>
          <w:color w:val="666666"/>
          <w:sz w:val="20"/>
          <w:szCs w:val="20"/>
          <w:lang w:eastAsia="en-NZ"/>
        </w:rPr>
        <w:t>Ruataniwha</w:t>
      </w:r>
      <w:proofErr w:type="spellEnd"/>
      <w:r w:rsidRPr="003D2589">
        <w:rPr>
          <w:rFonts w:ascii="Arial" w:eastAsia="Times New Roman" w:hAnsi="Arial" w:cs="Arial"/>
          <w:color w:val="666666"/>
          <w:sz w:val="20"/>
          <w:szCs w:val="20"/>
          <w:lang w:eastAsia="en-NZ"/>
        </w:rPr>
        <w:t xml:space="preserve"> water storage scheme in Central Hawke's Bay.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The decision to stop the $330 million </w:t>
      </w:r>
      <w:proofErr w:type="spellStart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Ruataniwha</w:t>
      </w:r>
      <w:proofErr w:type="spellEnd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dam project going ahead on a block of conservation land in Hawke's Bay will be appealed in the Supreme Court.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The Department of Conservation (DOC) and the regional council-owned Hawke's Bay Regional Investment Company (HBRIC) sought the hearing after the Court of Appeal thwarted a land-swap deal pivotal to the creation of a 7km-long irrigation reservoir in the foothills of the </w:t>
      </w:r>
      <w:proofErr w:type="spellStart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Ruahine</w:t>
      </w:r>
      <w:proofErr w:type="spellEnd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Range.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HBRIC wants to dam the </w:t>
      </w:r>
      <w:proofErr w:type="spellStart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Makaroro</w:t>
      </w:r>
      <w:proofErr w:type="spellEnd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River to create the reservoir, using the water to irrigate more than 25,000 hectares of drought-prone farming and cropping land in Central Hawke's Bay.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666666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666666"/>
          <w:sz w:val="20"/>
          <w:szCs w:val="20"/>
          <w:lang w:eastAsia="en-NZ"/>
        </w:rPr>
        <w:t>DOC's appeal will be heard in the Supreme Court in Wellington, possibly in February.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But its plans were stalled because 22ha of the land it wants to flood is protected with special conservation status.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lastRenderedPageBreak/>
        <w:t>HBRIC offered to swap the block for 170ha of nearby farmland, but DOC's process for approving the swap was successfully challenged by Forest &amp; Bird in the Court of Appeal.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Forest &amp; Bird lawyer Sally </w:t>
      </w:r>
      <w:proofErr w:type="spellStart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Gepp</w:t>
      </w:r>
      <w:proofErr w:type="spellEnd"/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encouraged Conservation Minister Maggie Barry to reconsider her priorities and stand up for conservation lands against commercial interests. 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"We look forward to the defending New Zealand's protected land in court should she continue backing the corporate agenda over publicly owned land.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"We also understand that Hawke's Bay Regional Council are voting on a dam moratorium proposal tomorrow, and we will be interested to see if they take the opportunity to instruct HBRIC to withdraw from court proceedings."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Barry had previously backed her department's decision to seek leave to appeal to the Supreme Court. 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Acting Chief Executive of HBRIC, Blair O'Keeffe, said it "is a positive development".</w:t>
      </w:r>
    </w:p>
    <w:p w:rsidR="00321170" w:rsidRPr="003D2589" w:rsidRDefault="00321170" w:rsidP="00486663">
      <w:pPr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The Supreme Court has indicated it will hold a two-day hearing in February 2017. </w:t>
      </w:r>
    </w:p>
    <w:p w:rsidR="00321170" w:rsidRPr="003D2589" w:rsidRDefault="00321170" w:rsidP="00486663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3D258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 - Stuff</w:t>
      </w:r>
    </w:p>
    <w:p w:rsidR="00321170" w:rsidRPr="003D2589" w:rsidRDefault="00321170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21170" w:rsidRPr="003D2589" w:rsidRDefault="00321170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486663" w:rsidRPr="003D2589" w:rsidRDefault="00486663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486663" w:rsidRDefault="00486663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3D2589" w:rsidRPr="003D2589" w:rsidRDefault="003D2589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486663" w:rsidRPr="003D2589" w:rsidRDefault="00486663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p w:rsidR="00486663" w:rsidRPr="003D2589" w:rsidRDefault="00486663" w:rsidP="000B142A">
      <w:pPr>
        <w:shd w:val="clear" w:color="auto" w:fill="FFFFFF"/>
        <w:spacing w:after="71"/>
        <w:textAlignment w:val="baseline"/>
        <w:outlineLvl w:val="1"/>
        <w:rPr>
          <w:rFonts w:ascii="Arial" w:eastAsia="Times New Roman" w:hAnsi="Arial" w:cs="Arial"/>
          <w:b/>
          <w:bCs/>
          <w:color w:val="404441"/>
          <w:spacing w:val="-4"/>
          <w:sz w:val="20"/>
          <w:szCs w:val="20"/>
          <w:lang w:eastAsia="en-NZ"/>
        </w:rPr>
      </w:pPr>
    </w:p>
    <w:sectPr w:rsidR="00486663" w:rsidRPr="003D2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FDF"/>
    <w:multiLevelType w:val="multilevel"/>
    <w:tmpl w:val="976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28BD"/>
    <w:multiLevelType w:val="multilevel"/>
    <w:tmpl w:val="313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C26F6"/>
    <w:multiLevelType w:val="multilevel"/>
    <w:tmpl w:val="CF4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876B5"/>
    <w:multiLevelType w:val="multilevel"/>
    <w:tmpl w:val="B31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F5E6B"/>
    <w:multiLevelType w:val="multilevel"/>
    <w:tmpl w:val="F02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3A71"/>
    <w:multiLevelType w:val="multilevel"/>
    <w:tmpl w:val="920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9325E"/>
    <w:multiLevelType w:val="multilevel"/>
    <w:tmpl w:val="035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210CA"/>
    <w:multiLevelType w:val="multilevel"/>
    <w:tmpl w:val="989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35178"/>
    <w:multiLevelType w:val="multilevel"/>
    <w:tmpl w:val="3B4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A"/>
    <w:rsid w:val="000B142A"/>
    <w:rsid w:val="00321170"/>
    <w:rsid w:val="003D2589"/>
    <w:rsid w:val="00483B7C"/>
    <w:rsid w:val="00486663"/>
    <w:rsid w:val="00587C73"/>
    <w:rsid w:val="00740F2E"/>
    <w:rsid w:val="00C2310C"/>
    <w:rsid w:val="00D37AD6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641E-9173-4CDD-948F-3A08905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90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1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9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8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87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79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3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466">
                          <w:marLeft w:val="0"/>
                          <w:marRight w:val="9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76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394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2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2124570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9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409">
                  <w:marLeft w:val="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nz.co.nz/news/regional/305104/court-hears-forest-and-bird-appeal-over-dam" TargetMode="External"/><Relationship Id="rId5" Type="http://schemas.openxmlformats.org/officeDocument/2006/relationships/hyperlink" Target="http://www.radionz.co.nz/news/national/312185/forest-and-bird-wins-ruataniwha-appe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dcterms:created xsi:type="dcterms:W3CDTF">2016-12-13T07:31:00Z</dcterms:created>
  <dcterms:modified xsi:type="dcterms:W3CDTF">2016-12-13T09:43:00Z</dcterms:modified>
</cp:coreProperties>
</file>